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060" w:leader="none"/>
        </w:tabs>
        <w:suppressAutoHyphens w:val="true"/>
        <w:spacing w:before="0" w:after="0" w:line="240"/>
        <w:ind w:right="0" w:left="0" w:hanging="426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6060" w:leader="none"/>
        </w:tabs>
        <w:suppressAutoHyphens w:val="true"/>
        <w:spacing w:before="0" w:after="0" w:line="240"/>
        <w:ind w:right="0" w:left="0" w:hanging="426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План-график работы специалистов на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Телефоне Здоровья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в сентябре 2019 г.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1365"/>
        <w:gridCol w:w="3225"/>
        <w:gridCol w:w="5700"/>
      </w:tblGrid>
      <w:tr>
        <w:trPr>
          <w:trHeight w:val="266" w:hRule="auto"/>
          <w:jc w:val="left"/>
        </w:trPr>
        <w:tc>
          <w:tcPr>
            <w:tcW w:w="13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322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Наименование темы</w:t>
            </w:r>
          </w:p>
        </w:tc>
        <w:tc>
          <w:tcPr>
            <w:tcW w:w="57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Специалист</w:t>
            </w:r>
          </w:p>
        </w:tc>
      </w:tr>
      <w:tr>
        <w:trPr>
          <w:trHeight w:val="1318" w:hRule="auto"/>
          <w:jc w:val="left"/>
        </w:trPr>
        <w:tc>
          <w:tcPr>
            <w:tcW w:w="13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сентября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22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Вопросы сердечно-сосудистому хирургу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7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Кузьмин Ярослав Юрьевич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— </w:t>
            </w:r>
          </w:p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сердечно-сосудистый хирург отделения сердечно-со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судистой хирургии ОГБУЗ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Костромская областная клиническая больница им. Е.И. Королева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position w:val="0"/>
                <w:shd w:fill="auto" w:val="clear"/>
              </w:rPr>
            </w:pPr>
          </w:p>
        </w:tc>
      </w:tr>
      <w:tr>
        <w:trPr>
          <w:trHeight w:val="1227" w:hRule="auto"/>
          <w:jc w:val="left"/>
        </w:trPr>
        <w:tc>
          <w:tcPr>
            <w:tcW w:w="13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сентября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22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83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Спросите у педиатра. Как избежать гриппа и иных сезонных заболеваний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283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7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Харитонова Галина Юрьевна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– </w:t>
            </w:r>
          </w:p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заместитель главного врача по клинико-экспертной работе ОГБУЗ 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Окружная больница Костромского округа № 2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главный внештатный специалист педиатр департамента здравоохранения Костромской области</w:t>
            </w:r>
          </w:p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position w:val="0"/>
                <w:shd w:fill="auto" w:val="clear"/>
              </w:rPr>
            </w:pPr>
          </w:p>
        </w:tc>
      </w:tr>
      <w:tr>
        <w:trPr>
          <w:trHeight w:val="1227" w:hRule="auto"/>
          <w:jc w:val="left"/>
        </w:trPr>
        <w:tc>
          <w:tcPr>
            <w:tcW w:w="13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сентября</w:t>
            </w:r>
          </w:p>
        </w:tc>
        <w:tc>
          <w:tcPr>
            <w:tcW w:w="322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стоматологической помощи населению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663" w:leader="none"/>
              </w:tabs>
              <w:suppressAutoHyphens w:val="true"/>
              <w:spacing w:before="0" w:after="0" w:line="240"/>
              <w:ind w:right="-285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-1"/>
                <w:position w:val="0"/>
                <w:sz w:val="18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7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Нечаев Владимир Александрович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—  главный врач 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ОГБУЗ 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Стоматологическая поликлиника № 1 г. Костромы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8"/>
                <w:shd w:fill="auto" w:val="clear"/>
              </w:rPr>
              <w:t xml:space="preserve">главный внештатный специалист стоматолог департамента здравоохранения Костромской области</w:t>
            </w:r>
          </w:p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position w:val="0"/>
                <w:shd w:fill="auto" w:val="clear"/>
              </w:rPr>
            </w:pPr>
          </w:p>
        </w:tc>
      </w:tr>
      <w:tr>
        <w:trPr>
          <w:trHeight w:val="1227" w:hRule="auto"/>
          <w:jc w:val="left"/>
        </w:trPr>
        <w:tc>
          <w:tcPr>
            <w:tcW w:w="13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26  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сентября</w:t>
            </w:r>
          </w:p>
        </w:tc>
        <w:tc>
          <w:tcPr>
            <w:tcW w:w="322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Вопросы онкологу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57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Коновалова Яна Игоревна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— </w:t>
            </w:r>
          </w:p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врач онколог поликлинического отделения ОГБУЗ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Костромской областной онкологический диспансер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283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301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left" w:pos="301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left" w:pos="301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left" w:pos="301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8"/>
          <w:shd w:fill="auto" w:val="clear"/>
        </w:rPr>
        <w:t xml:space="preserve">Телефон Здоровья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8"/>
          <w:shd w:fill="auto" w:val="clear"/>
        </w:rPr>
        <w:t xml:space="preserve">» 8-800-450-03-03</w:t>
      </w:r>
    </w:p>
    <w:p>
      <w:pPr>
        <w:tabs>
          <w:tab w:val="left" w:pos="301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301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301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301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301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